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4AA0" w14:textId="77777777" w:rsidR="00DF0674" w:rsidRDefault="00DF0674" w:rsidP="00A27640">
      <w:pPr>
        <w:rPr>
          <w:rFonts w:ascii="Arial" w:hAnsi="Arial" w:cs="Arial"/>
          <w:b/>
          <w:color w:val="005A9A"/>
          <w:sz w:val="36"/>
          <w:szCs w:val="40"/>
          <w:lang w:val="de-DE"/>
        </w:rPr>
      </w:pPr>
    </w:p>
    <w:p w14:paraId="5CFF871C" w14:textId="45909FD3" w:rsidR="00A27640" w:rsidRPr="00077337" w:rsidRDefault="00A27640" w:rsidP="00A27640">
      <w:pPr>
        <w:rPr>
          <w:rFonts w:ascii="Arial" w:hAnsi="Arial" w:cs="Arial"/>
          <w:b/>
          <w:sz w:val="24"/>
          <w:szCs w:val="24"/>
          <w:lang w:val="de-DE"/>
        </w:rPr>
      </w:pPr>
      <w:r w:rsidRPr="00A27640">
        <w:rPr>
          <w:rFonts w:ascii="Arial" w:hAnsi="Arial" w:cs="Arial"/>
          <w:b/>
          <w:color w:val="005A9A"/>
          <w:sz w:val="36"/>
          <w:szCs w:val="40"/>
          <w:lang w:val="de-DE"/>
        </w:rPr>
        <w:t xml:space="preserve">Jetzt umsteigen! Weg von Öl- und Gasheizung, </w:t>
      </w:r>
      <w:r w:rsidR="00B51343">
        <w:rPr>
          <w:rFonts w:ascii="Arial" w:hAnsi="Arial" w:cs="Arial"/>
          <w:b/>
          <w:color w:val="005A9A"/>
          <w:sz w:val="36"/>
          <w:szCs w:val="40"/>
          <w:lang w:val="de-DE"/>
        </w:rPr>
        <w:br/>
      </w:r>
      <w:r w:rsidRPr="00A27640">
        <w:rPr>
          <w:rFonts w:ascii="Arial" w:hAnsi="Arial" w:cs="Arial"/>
          <w:b/>
          <w:color w:val="005A9A"/>
          <w:sz w:val="36"/>
          <w:szCs w:val="40"/>
          <w:lang w:val="de-DE"/>
        </w:rPr>
        <w:t>hin zu erneuerbaren Energien</w:t>
      </w:r>
    </w:p>
    <w:p w14:paraId="62B4F1E4" w14:textId="51EF2EC3" w:rsidR="00F066D3" w:rsidRDefault="00F066D3" w:rsidP="00DB0002">
      <w:pPr>
        <w:spacing w:line="276" w:lineRule="auto"/>
        <w:rPr>
          <w:rFonts w:ascii="Arial" w:hAnsi="Arial" w:cs="Arial"/>
          <w:lang w:val="de-DE"/>
        </w:rPr>
      </w:pPr>
    </w:p>
    <w:p w14:paraId="27446600" w14:textId="34CD21A2" w:rsidR="0012403A" w:rsidRPr="00CE01C7" w:rsidRDefault="00A27640" w:rsidP="00A27640">
      <w:pPr>
        <w:rPr>
          <w:rFonts w:ascii="Arial" w:hAnsi="Arial" w:cs="Arial"/>
          <w:lang w:val="de-DE"/>
        </w:rPr>
      </w:pPr>
      <w:r w:rsidRPr="00CE01C7">
        <w:rPr>
          <w:rFonts w:ascii="Arial" w:hAnsi="Arial" w:cs="Arial"/>
          <w:lang w:val="de-DE"/>
        </w:rPr>
        <w:t xml:space="preserve">Öl- und Gasheizungen sind nicht nur umweltschädlich, sondern auf lange Sicht auch kostspielig. Meist wird nur bei Neubauten an umweltfreundliche Heizsysteme gedacht, aber auch bei bestehenden Gebäuden ist es sinnvoll, das fossile Heizsystem zu ersetzen. Als umweltfreundliche Heizsysteme gelten Nah- bzw. Fernwärme, Wärmepumpen und Holzheizungen. </w:t>
      </w:r>
    </w:p>
    <w:p w14:paraId="740D567E" w14:textId="39C188CC" w:rsidR="00A27640" w:rsidRPr="00CE01C7" w:rsidRDefault="00A27640" w:rsidP="00A27640">
      <w:pPr>
        <w:rPr>
          <w:rFonts w:ascii="Arial" w:hAnsi="Arial" w:cs="Arial"/>
          <w:lang w:val="de-DE"/>
        </w:rPr>
      </w:pPr>
      <w:r w:rsidRPr="00CE01C7">
        <w:rPr>
          <w:rFonts w:ascii="Arial" w:hAnsi="Arial" w:cs="Arial"/>
          <w:lang w:val="de-DE"/>
        </w:rPr>
        <w:t xml:space="preserve">Wir als Gemeinde </w:t>
      </w:r>
      <w:r w:rsidRPr="00CE01C7">
        <w:rPr>
          <w:rFonts w:ascii="Arial" w:hAnsi="Arial" w:cs="Arial"/>
          <w:highlight w:val="yellow"/>
          <w:lang w:val="de-DE"/>
        </w:rPr>
        <w:t>sind bereits mit allen unseren Gebäuden aus Öl</w:t>
      </w:r>
      <w:r w:rsidR="00662850" w:rsidRPr="00CE01C7">
        <w:rPr>
          <w:rFonts w:ascii="Arial" w:hAnsi="Arial" w:cs="Arial"/>
          <w:highlight w:val="yellow"/>
          <w:lang w:val="de-DE"/>
        </w:rPr>
        <w:t xml:space="preserve"> und/oder </w:t>
      </w:r>
      <w:r w:rsidR="005D2821" w:rsidRPr="00CE01C7">
        <w:rPr>
          <w:rFonts w:ascii="Arial" w:hAnsi="Arial" w:cs="Arial"/>
          <w:highlight w:val="yellow"/>
          <w:lang w:val="de-DE"/>
        </w:rPr>
        <w:t>Gas</w:t>
      </w:r>
      <w:r w:rsidRPr="00CE01C7">
        <w:rPr>
          <w:rFonts w:ascii="Arial" w:hAnsi="Arial" w:cs="Arial"/>
          <w:lang w:val="de-DE"/>
        </w:rPr>
        <w:t xml:space="preserve"> ausgestiegen und somit Teil der Energiewende – gestalten Sie diese mit uns gemeinsam, auch in Ihrem Privathaushalt. Eine Beratung bezüglich des Heizungstausches erhalten Sie bei der Energieberatung Niederösterreich unter </w:t>
      </w:r>
      <w:hyperlink r:id="rId6" w:history="1">
        <w:r w:rsidR="00BD2569" w:rsidRPr="00CE01C7">
          <w:rPr>
            <w:rStyle w:val="Hyperlink"/>
            <w:rFonts w:ascii="Arial" w:hAnsi="Arial" w:cs="Arial"/>
            <w:lang w:val="de-DE"/>
          </w:rPr>
          <w:t>www.energie-noe.at/beratungsangebot</w:t>
        </w:r>
      </w:hyperlink>
      <w:r w:rsidR="000E5A35" w:rsidRPr="00CE01C7">
        <w:t xml:space="preserve"> </w:t>
      </w:r>
      <w:r w:rsidR="000E5A35" w:rsidRPr="00CE01C7">
        <w:rPr>
          <w:rFonts w:ascii="Arial" w:hAnsi="Arial" w:cs="Arial"/>
          <w:lang w:val="de-DE"/>
        </w:rPr>
        <w:t>oder telefonisch unter +43 2742 22 144 (Montag bis Freitag, 9 bis 15 Uhr)</w:t>
      </w:r>
      <w:r w:rsidR="0053152D" w:rsidRPr="00CE01C7">
        <w:rPr>
          <w:rFonts w:ascii="Arial" w:hAnsi="Arial" w:cs="Arial"/>
          <w:lang w:val="de-DE"/>
        </w:rPr>
        <w:t>.</w:t>
      </w:r>
    </w:p>
    <w:p w14:paraId="088BC682" w14:textId="380CFD93" w:rsidR="00971121" w:rsidRPr="00CE01C7" w:rsidRDefault="003520EC" w:rsidP="00A27640">
      <w:pPr>
        <w:rPr>
          <w:rFonts w:ascii="Arial" w:hAnsi="Arial" w:cs="Arial"/>
          <w:lang w:val="de-DE"/>
        </w:rPr>
      </w:pPr>
      <w:r w:rsidRPr="00CE01C7">
        <w:rPr>
          <w:rFonts w:ascii="Arial" w:hAnsi="Arial" w:cs="Arial"/>
          <w:lang w:val="de-DE"/>
        </w:rPr>
        <w:t xml:space="preserve">Nutzen Sie auch die Möglichkeit, </w:t>
      </w:r>
      <w:r w:rsidR="00464F67" w:rsidRPr="00CE01C7">
        <w:rPr>
          <w:rFonts w:ascii="Arial" w:hAnsi="Arial" w:cs="Arial"/>
          <w:lang w:val="de-DE"/>
        </w:rPr>
        <w:t>die Bundesförderung für einen</w:t>
      </w:r>
      <w:r w:rsidR="0053152D" w:rsidRPr="00CE01C7">
        <w:rPr>
          <w:rFonts w:ascii="Arial" w:hAnsi="Arial" w:cs="Arial"/>
          <w:lang w:val="de-DE"/>
        </w:rPr>
        <w:t xml:space="preserve"> Kesseltausch </w:t>
      </w:r>
      <w:r w:rsidR="00464F67" w:rsidRPr="00CE01C7">
        <w:rPr>
          <w:rFonts w:ascii="Arial" w:hAnsi="Arial" w:cs="Arial"/>
          <w:lang w:val="de-DE"/>
        </w:rPr>
        <w:t>bei</w:t>
      </w:r>
      <w:r w:rsidR="0053152D" w:rsidRPr="00CE01C7">
        <w:rPr>
          <w:rFonts w:ascii="Arial" w:hAnsi="Arial" w:cs="Arial"/>
          <w:lang w:val="de-DE"/>
        </w:rPr>
        <w:t xml:space="preserve"> Ein- und Zweifamilienhäuser</w:t>
      </w:r>
      <w:r w:rsidR="00464F67" w:rsidRPr="00CE01C7">
        <w:rPr>
          <w:rFonts w:ascii="Arial" w:hAnsi="Arial" w:cs="Arial"/>
          <w:lang w:val="de-DE"/>
        </w:rPr>
        <w:t>n</w:t>
      </w:r>
      <w:r w:rsidR="0053152D" w:rsidRPr="00CE01C7">
        <w:rPr>
          <w:rFonts w:ascii="Arial" w:hAnsi="Arial" w:cs="Arial"/>
          <w:lang w:val="de-DE"/>
        </w:rPr>
        <w:t>, sowie Reihenhäuser</w:t>
      </w:r>
      <w:r w:rsidR="00464F67" w:rsidRPr="00CE01C7">
        <w:rPr>
          <w:rFonts w:ascii="Arial" w:hAnsi="Arial" w:cs="Arial"/>
          <w:lang w:val="de-DE"/>
        </w:rPr>
        <w:t xml:space="preserve">n </w:t>
      </w:r>
      <w:r w:rsidRPr="00CE01C7">
        <w:rPr>
          <w:rFonts w:ascii="Arial" w:hAnsi="Arial" w:cs="Arial"/>
          <w:lang w:val="de-DE"/>
        </w:rPr>
        <w:t xml:space="preserve">zu </w:t>
      </w:r>
      <w:r w:rsidR="00464F67" w:rsidRPr="00CE01C7">
        <w:rPr>
          <w:rFonts w:ascii="Arial" w:hAnsi="Arial" w:cs="Arial"/>
          <w:lang w:val="de-DE"/>
        </w:rPr>
        <w:t>beantragen.</w:t>
      </w:r>
      <w:r w:rsidR="0053152D" w:rsidRPr="00CE01C7">
        <w:rPr>
          <w:rFonts w:ascii="Arial" w:hAnsi="Arial" w:cs="Arial"/>
          <w:lang w:val="de-DE"/>
        </w:rPr>
        <w:t xml:space="preserve"> Gefördert wird ein neues Zentralheizungssystem, das eine fossile Heizungsanlage ersetzt (z.</w:t>
      </w:r>
      <w:r w:rsidR="00237FBD" w:rsidRPr="00CE01C7">
        <w:rPr>
          <w:rFonts w:ascii="Arial" w:hAnsi="Arial" w:cs="Arial"/>
          <w:lang w:val="de-DE"/>
        </w:rPr>
        <w:t xml:space="preserve"> </w:t>
      </w:r>
      <w:r w:rsidR="0053152D" w:rsidRPr="00CE01C7">
        <w:rPr>
          <w:rFonts w:ascii="Arial" w:hAnsi="Arial" w:cs="Arial"/>
          <w:lang w:val="de-DE"/>
        </w:rPr>
        <w:t xml:space="preserve">B. Nah-/Fernwärmeanschluss, Holzzentralheizungen, Wärmepumpen). Die Förderhöhe </w:t>
      </w:r>
      <w:r w:rsidRPr="00CE01C7">
        <w:rPr>
          <w:rFonts w:ascii="Arial" w:hAnsi="Arial" w:cs="Arial"/>
          <w:lang w:val="de-DE"/>
        </w:rPr>
        <w:t>beträgt bis zu</w:t>
      </w:r>
      <w:r w:rsidR="0053152D" w:rsidRPr="00CE01C7">
        <w:rPr>
          <w:rFonts w:ascii="Arial" w:hAnsi="Arial" w:cs="Arial"/>
          <w:lang w:val="de-DE"/>
        </w:rPr>
        <w:t xml:space="preserve"> </w:t>
      </w:r>
      <w:r w:rsidR="000C07E7" w:rsidRPr="00CE01C7">
        <w:rPr>
          <w:rFonts w:ascii="Arial" w:hAnsi="Arial" w:cs="Arial"/>
          <w:lang w:val="de-DE"/>
        </w:rPr>
        <w:t>12.500</w:t>
      </w:r>
      <w:r w:rsidR="0053152D" w:rsidRPr="00CE01C7">
        <w:rPr>
          <w:rFonts w:ascii="Arial" w:hAnsi="Arial" w:cs="Arial"/>
          <w:lang w:val="de-DE"/>
        </w:rPr>
        <w:t xml:space="preserve"> Euro, abhängig vom Heizsystem </w:t>
      </w:r>
      <w:r w:rsidRPr="00CE01C7">
        <w:rPr>
          <w:rFonts w:ascii="Arial" w:hAnsi="Arial" w:cs="Arial"/>
          <w:lang w:val="de-DE"/>
        </w:rPr>
        <w:t>(</w:t>
      </w:r>
      <w:r w:rsidR="0053152D" w:rsidRPr="00CE01C7">
        <w:rPr>
          <w:rFonts w:ascii="Arial" w:hAnsi="Arial" w:cs="Arial"/>
          <w:lang w:val="de-DE"/>
        </w:rPr>
        <w:t xml:space="preserve">maximal </w:t>
      </w:r>
      <w:r w:rsidRPr="00CE01C7">
        <w:rPr>
          <w:rFonts w:ascii="Arial" w:hAnsi="Arial" w:cs="Arial"/>
          <w:lang w:val="de-DE"/>
        </w:rPr>
        <w:t xml:space="preserve">jedoch </w:t>
      </w:r>
      <w:r w:rsidR="0053152D" w:rsidRPr="00CE01C7">
        <w:rPr>
          <w:rFonts w:ascii="Arial" w:hAnsi="Arial" w:cs="Arial"/>
          <w:lang w:val="de-DE"/>
        </w:rPr>
        <w:t>30</w:t>
      </w:r>
      <w:r w:rsidR="00846A99" w:rsidRPr="00CE01C7">
        <w:rPr>
          <w:rFonts w:ascii="Arial" w:hAnsi="Arial" w:cs="Arial"/>
          <w:lang w:val="de-DE"/>
        </w:rPr>
        <w:t xml:space="preserve"> </w:t>
      </w:r>
      <w:r w:rsidR="0053152D" w:rsidRPr="00CE01C7">
        <w:rPr>
          <w:rFonts w:ascii="Arial" w:hAnsi="Arial" w:cs="Arial"/>
          <w:lang w:val="de-DE"/>
        </w:rPr>
        <w:t>% der förderungsfähigen Investitionskosten</w:t>
      </w:r>
      <w:r w:rsidRPr="00CE01C7">
        <w:rPr>
          <w:rFonts w:ascii="Arial" w:hAnsi="Arial" w:cs="Arial"/>
          <w:lang w:val="de-DE"/>
        </w:rPr>
        <w:t>)</w:t>
      </w:r>
      <w:r w:rsidR="0053152D" w:rsidRPr="00CE01C7">
        <w:rPr>
          <w:rFonts w:ascii="Arial" w:hAnsi="Arial" w:cs="Arial"/>
          <w:lang w:val="de-DE"/>
        </w:rPr>
        <w:t xml:space="preserve">. Einen zusätzlichen Bonus gibt es für die Errichtung einer thermischen Solaranlage. </w:t>
      </w:r>
    </w:p>
    <w:p w14:paraId="08F214CC" w14:textId="6E711F7E" w:rsidR="00971121" w:rsidRPr="00CE01C7" w:rsidRDefault="00971121" w:rsidP="00A27640">
      <w:pPr>
        <w:rPr>
          <w:rFonts w:ascii="Arial" w:hAnsi="Arial" w:cs="Arial"/>
          <w:lang w:val="de-DE"/>
        </w:rPr>
      </w:pPr>
      <w:r w:rsidRPr="00CE01C7">
        <w:rPr>
          <w:rFonts w:ascii="Arial" w:hAnsi="Arial" w:cs="Arial"/>
          <w:lang w:val="de-DE"/>
        </w:rPr>
        <w:t>Außerdem kann ein Heizungstausch im Rahmen der NÖ Eigenheimsanierung gefördert werden. Die Förderungshöhe ist abhängig von den gewählten Maßnahmen für Heizung und Gebäudesanierung und wird in Form eines Zuschusses zu einem Kredit ausbezahlt.</w:t>
      </w:r>
    </w:p>
    <w:p w14:paraId="3EBC1EA1" w14:textId="43BD8F82" w:rsidR="00A27640" w:rsidRPr="00CE01C7" w:rsidRDefault="00A27640" w:rsidP="00A27640">
      <w:pPr>
        <w:rPr>
          <w:rFonts w:ascii="Arial" w:hAnsi="Arial" w:cs="Arial"/>
          <w:lang w:val="de-DE"/>
        </w:rPr>
      </w:pPr>
      <w:r w:rsidRPr="00CE01C7">
        <w:rPr>
          <w:rFonts w:ascii="Arial" w:hAnsi="Arial" w:cs="Arial"/>
          <w:lang w:val="de-DE"/>
        </w:rPr>
        <w:t>Für einkommensschwache Haushalte gibt es Förderungen über die Aktion „Sauber Heizen für Alle“.</w:t>
      </w:r>
    </w:p>
    <w:p w14:paraId="3F19A69F" w14:textId="474A42EA" w:rsidR="00A343C2" w:rsidRPr="00CE01C7" w:rsidRDefault="00A343C2" w:rsidP="00A343C2">
      <w:pPr>
        <w:rPr>
          <w:rFonts w:ascii="Arial" w:hAnsi="Arial" w:cs="Arial"/>
          <w:lang w:val="de-DE"/>
        </w:rPr>
      </w:pPr>
      <w:r w:rsidRPr="00CE01C7">
        <w:rPr>
          <w:rFonts w:ascii="Arial" w:hAnsi="Arial" w:cs="Arial"/>
          <w:lang w:val="de-DE"/>
        </w:rPr>
        <w:t xml:space="preserve">Detaillierte Informationen zu den aktuellen Förderungen finden Sie unter </w:t>
      </w:r>
      <w:hyperlink r:id="rId7" w:history="1">
        <w:r w:rsidR="000E5A35" w:rsidRPr="00CE01C7">
          <w:rPr>
            <w:rStyle w:val="Hyperlink"/>
            <w:rFonts w:ascii="Arial" w:hAnsi="Arial" w:cs="Arial"/>
            <w:lang w:val="de-DE"/>
          </w:rPr>
          <w:t>https://www.energie-noe.at</w:t>
        </w:r>
      </w:hyperlink>
      <w:r w:rsidRPr="00CE01C7">
        <w:rPr>
          <w:rFonts w:ascii="Arial" w:hAnsi="Arial" w:cs="Arial"/>
          <w:lang w:val="de-DE"/>
        </w:rPr>
        <w:t xml:space="preserve">. </w:t>
      </w:r>
    </w:p>
    <w:p w14:paraId="51EFCDE5" w14:textId="5561DC9F" w:rsidR="00A27640" w:rsidRPr="00CE01C7" w:rsidRDefault="00A27640" w:rsidP="00A27640">
      <w:pPr>
        <w:rPr>
          <w:rFonts w:ascii="Arial" w:hAnsi="Arial" w:cs="Arial"/>
          <w:lang w:val="de-DE"/>
        </w:rPr>
      </w:pPr>
      <w:r w:rsidRPr="00CE01C7">
        <w:rPr>
          <w:rFonts w:ascii="Arial" w:hAnsi="Arial" w:cs="Arial"/>
          <w:lang w:val="de-DE"/>
        </w:rPr>
        <w:t xml:space="preserve">Ein Umstieg lohnt sich auch langfristig fürs </w:t>
      </w:r>
      <w:proofErr w:type="spellStart"/>
      <w:r w:rsidRPr="00CE01C7">
        <w:rPr>
          <w:rFonts w:ascii="Arial" w:hAnsi="Arial" w:cs="Arial"/>
          <w:lang w:val="de-DE"/>
        </w:rPr>
        <w:t>Geldbörserl</w:t>
      </w:r>
      <w:proofErr w:type="spellEnd"/>
      <w:r w:rsidRPr="00CE01C7">
        <w:rPr>
          <w:rFonts w:ascii="Arial" w:hAnsi="Arial" w:cs="Arial"/>
          <w:lang w:val="de-DE"/>
        </w:rPr>
        <w:t xml:space="preserve"> – gestalten wir gemeinsam die Energiewende für eine saubere Zukunft!</w:t>
      </w:r>
    </w:p>
    <w:p w14:paraId="04CD2CB8" w14:textId="3DCB66DC" w:rsidR="008A066F" w:rsidRPr="00077337" w:rsidRDefault="00077337" w:rsidP="00DB0002">
      <w:pPr>
        <w:spacing w:line="276" w:lineRule="auto"/>
        <w:rPr>
          <w:rFonts w:ascii="Arial" w:hAnsi="Arial" w:cs="Arial"/>
        </w:rPr>
      </w:pPr>
      <w:r w:rsidRPr="00077337">
        <w:rPr>
          <w:rFonts w:ascii="Arial" w:eastAsia="Times New Roman" w:hAnsi="Arial" w:cs="Arial"/>
          <w:noProof/>
          <w:sz w:val="24"/>
          <w:szCs w:val="24"/>
          <w:lang w:val="de-DE" w:eastAsia="de-DE"/>
        </w:rPr>
        <mc:AlternateContent>
          <mc:Choice Requires="wps">
            <w:drawing>
              <wp:anchor distT="45720" distB="45720" distL="114300" distR="114300" simplePos="0" relativeHeight="251662336" behindDoc="0" locked="0" layoutInCell="1" allowOverlap="1" wp14:anchorId="0361F01B" wp14:editId="5F44F3C7">
                <wp:simplePos x="0" y="0"/>
                <wp:positionH relativeFrom="margin">
                  <wp:align>right</wp:align>
                </wp:positionH>
                <wp:positionV relativeFrom="paragraph">
                  <wp:posOffset>1378585</wp:posOffset>
                </wp:positionV>
                <wp:extent cx="5750560" cy="269240"/>
                <wp:effectExtent l="0" t="0" r="254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269240"/>
                        </a:xfrm>
                        <a:prstGeom prst="rect">
                          <a:avLst/>
                        </a:prstGeom>
                        <a:solidFill>
                          <a:srgbClr val="005A9A"/>
                        </a:solidFill>
                        <a:ln w="9525">
                          <a:noFill/>
                          <a:miter lim="800000"/>
                          <a:headEnd/>
                          <a:tailEnd/>
                        </a:ln>
                      </wps:spPr>
                      <wps:txbx>
                        <w:txbxContent>
                          <w:p w14:paraId="1DE9359E" w14:textId="43CF003B" w:rsidR="0083382D" w:rsidRPr="0083382D" w:rsidRDefault="0083382D" w:rsidP="0083382D">
                            <w:pPr>
                              <w:rPr>
                                <w:rFonts w:ascii="Arial" w:hAnsi="Arial" w:cs="Arial"/>
                                <w:b/>
                                <w:color w:val="FFFFFF" w:themeColor="background1"/>
                              </w:rPr>
                            </w:pPr>
                            <w:r w:rsidRPr="0083382D">
                              <w:rPr>
                                <w:rFonts w:ascii="Arial" w:hAnsi="Arial" w:cs="Arial"/>
                                <w:color w:val="FFFFFF" w:themeColor="background1"/>
                              </w:rPr>
                              <w:t xml:space="preserve">Weitere Informationen erhalten Sie unter </w:t>
                            </w:r>
                            <w:hyperlink r:id="rId8" w:history="1">
                              <w:r w:rsidR="00A343C2" w:rsidRPr="00FA33ED">
                                <w:rPr>
                                  <w:rStyle w:val="Hyperlink"/>
                                  <w:rFonts w:ascii="Arial" w:hAnsi="Arial" w:cs="Arial"/>
                                  <w:b/>
                                  <w:color w:val="FFFFFF" w:themeColor="background1"/>
                                </w:rPr>
                                <w:t>www.energie-noe.at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1F01B" id="_x0000_t202" coordsize="21600,21600" o:spt="202" path="m,l,21600r21600,l21600,xe">
                <v:stroke joinstyle="miter"/>
                <v:path gradientshapeok="t" o:connecttype="rect"/>
              </v:shapetype>
              <v:shape id="Textfeld 2" o:spid="_x0000_s1026" type="#_x0000_t202" style="position:absolute;margin-left:401.6pt;margin-top:108.55pt;width:452.8pt;height:21.2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" fillcolor="#005a9a" stroked="f">
                <v:textbox>
                  <w:txbxContent>
                    <w:p w14:paraId="1DE9359E" w14:textId="43CF003B" w:rsidR="0083382D" w:rsidRPr="0083382D" w:rsidRDefault="0083382D" w:rsidP="0083382D">
                      <w:pPr>
                        <w:rPr>
                          <w:rFonts w:ascii="Arial" w:hAnsi="Arial" w:cs="Arial"/>
                          <w:b/>
                          <w:color w:val="FFFFFF" w:themeColor="background1"/>
                        </w:rPr>
                      </w:pPr>
                      <w:r w:rsidRPr="0083382D">
                        <w:rPr>
                          <w:rFonts w:ascii="Arial" w:hAnsi="Arial" w:cs="Arial"/>
                          <w:color w:val="FFFFFF" w:themeColor="background1"/>
                        </w:rPr>
                        <w:t xml:space="preserve">Weitere Informationen erhalten Sie unter </w:t>
                      </w:r>
                      <w:hyperlink r:id="rId9" w:history="1">
                        <w:r w:rsidR="00A343C2" w:rsidRPr="00FA33ED">
                          <w:rPr>
                            <w:rStyle w:val="Hyperlink"/>
                            <w:rFonts w:ascii="Arial" w:hAnsi="Arial" w:cs="Arial"/>
                            <w:b/>
                            <w:color w:val="FFFFFF" w:themeColor="background1"/>
                          </w:rPr>
                          <w:t>www.energie-noe.at</w:t>
                        </w:r>
                      </w:hyperlink>
                    </w:p>
                  </w:txbxContent>
                </v:textbox>
                <w10:wrap type="square" anchorx="margin"/>
              </v:shape>
            </w:pict>
          </mc:Fallback>
        </mc:AlternateContent>
      </w:r>
    </w:p>
    <w:p w14:paraId="4E3932E2" w14:textId="171CB817" w:rsidR="00EF4794" w:rsidRPr="005D2821" w:rsidRDefault="00EF4794" w:rsidP="00DB0002">
      <w:pPr>
        <w:spacing w:line="276" w:lineRule="auto"/>
        <w:rPr>
          <w:rFonts w:ascii="Arial" w:hAnsi="Arial" w:cs="Arial"/>
          <w:sz w:val="20"/>
          <w:szCs w:val="20"/>
          <w:lang w:val="de-DE"/>
        </w:rPr>
      </w:pPr>
    </w:p>
    <w:sectPr w:rsidR="00EF4794" w:rsidRPr="005D2821" w:rsidSect="00DB0002">
      <w:headerReference w:type="default" r:id="rId10"/>
      <w:footerReference w:type="default" r:id="rId11"/>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B8F7" w14:textId="77777777" w:rsidR="008D2A14" w:rsidRDefault="008D2A14" w:rsidP="00DB0002">
      <w:pPr>
        <w:spacing w:after="0" w:line="240" w:lineRule="auto"/>
      </w:pPr>
      <w:r>
        <w:separator/>
      </w:r>
    </w:p>
  </w:endnote>
  <w:endnote w:type="continuationSeparator" w:id="0">
    <w:p w14:paraId="08DC8A7A" w14:textId="77777777" w:rsidR="008D2A14" w:rsidRDefault="008D2A14" w:rsidP="00DB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38BC" w14:textId="77777777" w:rsidR="00771DE3" w:rsidRDefault="00771DE3">
    <w:pPr>
      <w:pStyle w:val="Fuzeile"/>
    </w:pPr>
    <w:r>
      <w:rPr>
        <w:noProof/>
        <w:lang w:val="de-DE" w:eastAsia="de-DE"/>
      </w:rPr>
      <w:drawing>
        <wp:anchor distT="0" distB="0" distL="114300" distR="114300" simplePos="0" relativeHeight="251659264" behindDoc="0" locked="0" layoutInCell="1" allowOverlap="1" wp14:anchorId="1B6FE218" wp14:editId="2E4165C0">
          <wp:simplePos x="0" y="0"/>
          <wp:positionH relativeFrom="page">
            <wp:align>right</wp:align>
          </wp:positionH>
          <wp:positionV relativeFrom="paragraph">
            <wp:posOffset>98425</wp:posOffset>
          </wp:positionV>
          <wp:extent cx="2281697" cy="513080"/>
          <wp:effectExtent l="0" t="0" r="4445" b="127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nding-Balken_eN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1697" cy="5130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832B" w14:textId="77777777" w:rsidR="008D2A14" w:rsidRDefault="008D2A14" w:rsidP="00DB0002">
      <w:pPr>
        <w:spacing w:after="0" w:line="240" w:lineRule="auto"/>
      </w:pPr>
      <w:r>
        <w:separator/>
      </w:r>
    </w:p>
  </w:footnote>
  <w:footnote w:type="continuationSeparator" w:id="0">
    <w:p w14:paraId="49412A85" w14:textId="77777777" w:rsidR="008D2A14" w:rsidRDefault="008D2A14" w:rsidP="00DB0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3001" w14:textId="77777777" w:rsidR="00DB0002" w:rsidRDefault="00DB0002">
    <w:pPr>
      <w:pStyle w:val="Kopfzeile"/>
    </w:pPr>
    <w:r>
      <w:rPr>
        <w:noProof/>
        <w:lang w:val="de-DE" w:eastAsia="de-DE"/>
      </w:rPr>
      <w:drawing>
        <wp:anchor distT="0" distB="0" distL="114300" distR="114300" simplePos="0" relativeHeight="251658240" behindDoc="0" locked="0" layoutInCell="1" allowOverlap="1" wp14:anchorId="338150D0" wp14:editId="03061568">
          <wp:simplePos x="0" y="0"/>
          <wp:positionH relativeFrom="column">
            <wp:posOffset>4178309</wp:posOffset>
          </wp:positionH>
          <wp:positionV relativeFrom="paragraph">
            <wp:posOffset>-144780</wp:posOffset>
          </wp:positionV>
          <wp:extent cx="1971776" cy="558800"/>
          <wp:effectExtent l="0" t="0" r="952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_4c_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4647" cy="55961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794"/>
    <w:rsid w:val="00077337"/>
    <w:rsid w:val="000C07E7"/>
    <w:rsid w:val="000E5A35"/>
    <w:rsid w:val="001112C3"/>
    <w:rsid w:val="0012403A"/>
    <w:rsid w:val="0018642F"/>
    <w:rsid w:val="0019601B"/>
    <w:rsid w:val="001B6FAA"/>
    <w:rsid w:val="00201FDA"/>
    <w:rsid w:val="00237FBD"/>
    <w:rsid w:val="002767E1"/>
    <w:rsid w:val="002D113A"/>
    <w:rsid w:val="00300A58"/>
    <w:rsid w:val="003520EC"/>
    <w:rsid w:val="003560BA"/>
    <w:rsid w:val="00464F67"/>
    <w:rsid w:val="00481170"/>
    <w:rsid w:val="0048313E"/>
    <w:rsid w:val="00491D5F"/>
    <w:rsid w:val="004C5767"/>
    <w:rsid w:val="0051248D"/>
    <w:rsid w:val="0053152D"/>
    <w:rsid w:val="00585B43"/>
    <w:rsid w:val="005D0ED5"/>
    <w:rsid w:val="005D2821"/>
    <w:rsid w:val="00611AB2"/>
    <w:rsid w:val="00612174"/>
    <w:rsid w:val="00624BFE"/>
    <w:rsid w:val="00662850"/>
    <w:rsid w:val="00671FFF"/>
    <w:rsid w:val="006728C8"/>
    <w:rsid w:val="00691D55"/>
    <w:rsid w:val="00725A54"/>
    <w:rsid w:val="00753514"/>
    <w:rsid w:val="0075607B"/>
    <w:rsid w:val="00771DE3"/>
    <w:rsid w:val="007B6654"/>
    <w:rsid w:val="0080548B"/>
    <w:rsid w:val="00811E72"/>
    <w:rsid w:val="0083382D"/>
    <w:rsid w:val="00844EAD"/>
    <w:rsid w:val="00846A99"/>
    <w:rsid w:val="00876868"/>
    <w:rsid w:val="008A066F"/>
    <w:rsid w:val="008D2A14"/>
    <w:rsid w:val="009339FF"/>
    <w:rsid w:val="009469B6"/>
    <w:rsid w:val="00963AEF"/>
    <w:rsid w:val="00971121"/>
    <w:rsid w:val="009745F8"/>
    <w:rsid w:val="00987002"/>
    <w:rsid w:val="009A032D"/>
    <w:rsid w:val="009B168D"/>
    <w:rsid w:val="00A27640"/>
    <w:rsid w:val="00A343C2"/>
    <w:rsid w:val="00A35276"/>
    <w:rsid w:val="00A52E71"/>
    <w:rsid w:val="00A6082D"/>
    <w:rsid w:val="00AF5F8C"/>
    <w:rsid w:val="00B16E9B"/>
    <w:rsid w:val="00B51343"/>
    <w:rsid w:val="00B54D6E"/>
    <w:rsid w:val="00B72561"/>
    <w:rsid w:val="00BD00AD"/>
    <w:rsid w:val="00BD2569"/>
    <w:rsid w:val="00C26E58"/>
    <w:rsid w:val="00C37768"/>
    <w:rsid w:val="00C4501E"/>
    <w:rsid w:val="00CE01C7"/>
    <w:rsid w:val="00D94DCC"/>
    <w:rsid w:val="00DB0002"/>
    <w:rsid w:val="00DB4041"/>
    <w:rsid w:val="00DF0674"/>
    <w:rsid w:val="00E13412"/>
    <w:rsid w:val="00E42E3B"/>
    <w:rsid w:val="00EB036D"/>
    <w:rsid w:val="00ED0F2F"/>
    <w:rsid w:val="00EF4794"/>
    <w:rsid w:val="00F066D3"/>
    <w:rsid w:val="00F0745F"/>
    <w:rsid w:val="00FA33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CFE24"/>
  <w15:chartTrackingRefBased/>
  <w15:docId w15:val="{220186E7-E665-4B1E-A86B-A347BD53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A066F"/>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A066F"/>
    <w:rPr>
      <w:rFonts w:ascii="Times New Roman" w:eastAsia="Times New Roman" w:hAnsi="Times New Roman" w:cs="Times New Roman"/>
      <w:b/>
      <w:bCs/>
      <w:sz w:val="36"/>
      <w:szCs w:val="36"/>
      <w:lang w:eastAsia="de-AT"/>
    </w:rPr>
  </w:style>
  <w:style w:type="paragraph" w:styleId="StandardWeb">
    <w:name w:val="Normal (Web)"/>
    <w:basedOn w:val="Standard"/>
    <w:uiPriority w:val="99"/>
    <w:unhideWhenUsed/>
    <w:rsid w:val="008A066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8A066F"/>
    <w:rPr>
      <w:b/>
      <w:bCs/>
    </w:rPr>
  </w:style>
  <w:style w:type="character" w:styleId="Hyperlink">
    <w:name w:val="Hyperlink"/>
    <w:uiPriority w:val="99"/>
    <w:rsid w:val="00BD00AD"/>
    <w:rPr>
      <w:color w:val="0000FF"/>
      <w:u w:val="single"/>
    </w:rPr>
  </w:style>
  <w:style w:type="paragraph" w:styleId="Kopfzeile">
    <w:name w:val="header"/>
    <w:basedOn w:val="Standard"/>
    <w:link w:val="KopfzeileZchn"/>
    <w:uiPriority w:val="99"/>
    <w:unhideWhenUsed/>
    <w:rsid w:val="00DB00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0002"/>
  </w:style>
  <w:style w:type="paragraph" w:styleId="Fuzeile">
    <w:name w:val="footer"/>
    <w:basedOn w:val="Standard"/>
    <w:link w:val="FuzeileZchn"/>
    <w:uiPriority w:val="99"/>
    <w:unhideWhenUsed/>
    <w:rsid w:val="00DB00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0002"/>
  </w:style>
  <w:style w:type="character" w:styleId="BesuchterLink">
    <w:name w:val="FollowedHyperlink"/>
    <w:basedOn w:val="Absatz-Standardschriftart"/>
    <w:uiPriority w:val="99"/>
    <w:semiHidden/>
    <w:unhideWhenUsed/>
    <w:rsid w:val="00A27640"/>
    <w:rPr>
      <w:color w:val="954F72" w:themeColor="followedHyperlink"/>
      <w:u w:val="single"/>
    </w:rPr>
  </w:style>
  <w:style w:type="character" w:styleId="Kommentarzeichen">
    <w:name w:val="annotation reference"/>
    <w:basedOn w:val="Absatz-Standardschriftart"/>
    <w:uiPriority w:val="99"/>
    <w:semiHidden/>
    <w:unhideWhenUsed/>
    <w:rsid w:val="00A27640"/>
    <w:rPr>
      <w:sz w:val="16"/>
      <w:szCs w:val="16"/>
    </w:rPr>
  </w:style>
  <w:style w:type="paragraph" w:styleId="Kommentartext">
    <w:name w:val="annotation text"/>
    <w:basedOn w:val="Standard"/>
    <w:link w:val="KommentartextZchn"/>
    <w:uiPriority w:val="99"/>
    <w:unhideWhenUsed/>
    <w:rsid w:val="00A27640"/>
    <w:pPr>
      <w:spacing w:line="240" w:lineRule="auto"/>
    </w:pPr>
    <w:rPr>
      <w:sz w:val="20"/>
      <w:szCs w:val="20"/>
    </w:rPr>
  </w:style>
  <w:style w:type="character" w:customStyle="1" w:styleId="KommentartextZchn">
    <w:name w:val="Kommentartext Zchn"/>
    <w:basedOn w:val="Absatz-Standardschriftart"/>
    <w:link w:val="Kommentartext"/>
    <w:uiPriority w:val="99"/>
    <w:rsid w:val="00A27640"/>
    <w:rPr>
      <w:sz w:val="20"/>
      <w:szCs w:val="20"/>
    </w:rPr>
  </w:style>
  <w:style w:type="paragraph" w:styleId="Kommentarthema">
    <w:name w:val="annotation subject"/>
    <w:basedOn w:val="Kommentartext"/>
    <w:next w:val="Kommentartext"/>
    <w:link w:val="KommentarthemaZchn"/>
    <w:uiPriority w:val="99"/>
    <w:semiHidden/>
    <w:unhideWhenUsed/>
    <w:rsid w:val="00A27640"/>
    <w:rPr>
      <w:b/>
      <w:bCs/>
    </w:rPr>
  </w:style>
  <w:style w:type="character" w:customStyle="1" w:styleId="KommentarthemaZchn">
    <w:name w:val="Kommentarthema Zchn"/>
    <w:basedOn w:val="KommentartextZchn"/>
    <w:link w:val="Kommentarthema"/>
    <w:uiPriority w:val="99"/>
    <w:semiHidden/>
    <w:rsid w:val="00A27640"/>
    <w:rPr>
      <w:b/>
      <w:bCs/>
      <w:sz w:val="20"/>
      <w:szCs w:val="20"/>
    </w:rPr>
  </w:style>
  <w:style w:type="paragraph" w:styleId="Listenabsatz">
    <w:name w:val="List Paragraph"/>
    <w:basedOn w:val="Standard"/>
    <w:uiPriority w:val="34"/>
    <w:qFormat/>
    <w:rsid w:val="005D2821"/>
    <w:pPr>
      <w:ind w:left="720"/>
      <w:contextualSpacing/>
    </w:pPr>
  </w:style>
  <w:style w:type="paragraph" w:styleId="berarbeitung">
    <w:name w:val="Revision"/>
    <w:hidden/>
    <w:uiPriority w:val="99"/>
    <w:semiHidden/>
    <w:rsid w:val="00BD2569"/>
    <w:pPr>
      <w:spacing w:after="0" w:line="240" w:lineRule="auto"/>
    </w:pPr>
  </w:style>
  <w:style w:type="character" w:styleId="NichtaufgelsteErwhnung">
    <w:name w:val="Unresolved Mention"/>
    <w:basedOn w:val="Absatz-Standardschriftart"/>
    <w:uiPriority w:val="99"/>
    <w:semiHidden/>
    <w:unhideWhenUsed/>
    <w:rsid w:val="00BD2569"/>
    <w:rPr>
      <w:color w:val="605E5C"/>
      <w:shd w:val="clear" w:color="auto" w:fill="E1DFDD"/>
    </w:rPr>
  </w:style>
  <w:style w:type="paragraph" w:styleId="Beschriftung">
    <w:name w:val="caption"/>
    <w:basedOn w:val="Standard"/>
    <w:next w:val="Standard"/>
    <w:uiPriority w:val="35"/>
    <w:unhideWhenUsed/>
    <w:qFormat/>
    <w:rsid w:val="0012403A"/>
    <w:pPr>
      <w:spacing w:after="200" w:line="240" w:lineRule="auto"/>
    </w:pPr>
    <w:rPr>
      <w:rFonts w:ascii="Arial" w:eastAsia="Arial" w:hAnsi="Arial" w:cs="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ie-noe.a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nergie-noe.a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ergie-noe.at/beratungsangebo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nergie-noe.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1742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Riegler</dc:creator>
  <cp:keywords/>
  <dc:description/>
  <cp:lastModifiedBy>Sonja Kargl-Wagner</cp:lastModifiedBy>
  <cp:revision>2</cp:revision>
  <dcterms:created xsi:type="dcterms:W3CDTF">2026-04-27T12:06:00Z</dcterms:created>
  <dcterms:modified xsi:type="dcterms:W3CDTF">2026-04-27T12:06:00Z</dcterms:modified>
</cp:coreProperties>
</file>